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ascii="黑体" w:hAnsi="宋体" w:eastAsia="黑体" w:cs="黑体"/>
          <w:sz w:val="32"/>
          <w:szCs w:val="32"/>
        </w:rPr>
      </w:pPr>
      <w:r>
        <w:rPr>
          <w:rFonts w:hint="eastAsia" w:ascii="黑体" w:hAnsi="宋体" w:eastAsia="黑体" w:cs="黑体"/>
          <w:sz w:val="32"/>
          <w:szCs w:val="32"/>
        </w:rPr>
        <w:t>附件2</w:t>
      </w:r>
    </w:p>
    <w:p>
      <w:pPr>
        <w:snapToGrid w:val="0"/>
        <w:jc w:val="center"/>
        <w:rPr>
          <w:rFonts w:ascii="方正大标宋简体" w:hAnsi="宋体" w:eastAsia="方正大标宋简体"/>
          <w:sz w:val="44"/>
          <w:szCs w:val="44"/>
        </w:rPr>
      </w:pPr>
      <w:r>
        <w:rPr>
          <w:rFonts w:hint="eastAsia" w:ascii="方正大标宋简体" w:hAnsi="宋体" w:eastAsia="方正大标宋简体" w:cs="方正小标宋简体"/>
          <w:sz w:val="44"/>
          <w:szCs w:val="44"/>
          <w:lang w:val="en-US" w:eastAsia="zh-CN"/>
        </w:rPr>
        <w:t>2022</w:t>
      </w:r>
      <w:r>
        <w:rPr>
          <w:rFonts w:hint="eastAsia" w:ascii="方正大标宋简体" w:hAnsi="宋体" w:eastAsia="方正大标宋简体" w:cs="方正小标宋简体"/>
          <w:sz w:val="44"/>
          <w:szCs w:val="44"/>
        </w:rPr>
        <w:t>年度</w:t>
      </w:r>
      <w:r>
        <w:rPr>
          <w:rFonts w:hint="eastAsia" w:ascii="方正大标宋简体" w:hAnsi="宋体" w:eastAsia="方正大标宋简体" w:cs="方正小标宋简体"/>
          <w:sz w:val="44"/>
          <w:szCs w:val="44"/>
          <w:lang w:eastAsia="zh-CN"/>
        </w:rPr>
        <w:t>免费运行</w:t>
      </w:r>
      <w:r>
        <w:rPr>
          <w:rFonts w:hint="eastAsia" w:ascii="方正大标宋简体" w:hAnsi="宋体" w:eastAsia="方正大标宋简体" w:cs="方正小标宋简体"/>
          <w:sz w:val="44"/>
          <w:szCs w:val="44"/>
        </w:rPr>
        <w:t>项目自评表</w:t>
      </w:r>
    </w:p>
    <w:p>
      <w:pPr>
        <w:snapToGrid w:val="0"/>
        <w:spacing w:line="580" w:lineRule="exact"/>
        <w:rPr>
          <w:rFonts w:ascii="楷体_GB2312" w:hAnsi="楷体" w:eastAsia="楷体_GB2312" w:cs="楷体_GB2312"/>
          <w:b/>
          <w:sz w:val="32"/>
          <w:szCs w:val="32"/>
        </w:rPr>
      </w:pPr>
      <w:r>
        <w:rPr>
          <w:rFonts w:hint="eastAsia" w:ascii="楷体_GB2312" w:hAnsi="楷体" w:eastAsia="楷体_GB2312" w:cs="楷体_GB2312"/>
          <w:b/>
          <w:sz w:val="32"/>
          <w:szCs w:val="32"/>
        </w:rPr>
        <w:t>项目单位（盖章）：</w:t>
      </w:r>
      <w:r>
        <w:rPr>
          <w:rFonts w:hint="eastAsia" w:ascii="楷体_GB2312" w:hAnsi="楷体" w:eastAsia="楷体_GB2312" w:cs="楷体_GB2312"/>
          <w:b/>
          <w:sz w:val="32"/>
          <w:szCs w:val="32"/>
          <w:lang w:eastAsia="zh-CN"/>
        </w:rPr>
        <w:t>黄石市博物馆</w:t>
      </w:r>
      <w:r>
        <w:rPr>
          <w:rFonts w:hint="eastAsia" w:ascii="楷体_GB2312" w:hAnsi="楷体" w:eastAsia="楷体_GB2312" w:cs="楷体_GB2312"/>
          <w:b/>
          <w:sz w:val="32"/>
          <w:szCs w:val="32"/>
        </w:rPr>
        <w:t xml:space="preserve"> </w:t>
      </w:r>
      <w:r>
        <w:rPr>
          <w:rFonts w:ascii="楷体_GB2312" w:hAnsi="楷体" w:eastAsia="楷体_GB2312" w:cs="楷体_GB2312"/>
          <w:b/>
          <w:sz w:val="32"/>
          <w:szCs w:val="32"/>
        </w:rPr>
        <w:t xml:space="preserve">  </w:t>
      </w:r>
      <w:r>
        <w:rPr>
          <w:rFonts w:hint="eastAsia" w:ascii="楷体_GB2312" w:hAnsi="楷体" w:eastAsia="楷体_GB2312" w:cs="楷体_GB2312"/>
          <w:b/>
          <w:sz w:val="32"/>
          <w:szCs w:val="32"/>
        </w:rPr>
        <w:t>主要领导签字：</w:t>
      </w:r>
    </w:p>
    <w:p>
      <w:pPr>
        <w:widowControl/>
        <w:snapToGrid w:val="0"/>
        <w:spacing w:line="580" w:lineRule="exact"/>
        <w:jc w:val="left"/>
        <w:rPr>
          <w:rFonts w:hint="default" w:ascii="楷体_GB2312" w:hAnsi="楷体" w:eastAsia="楷体_GB2312" w:cs="楷体_GB2312"/>
          <w:b/>
          <w:sz w:val="32"/>
          <w:szCs w:val="32"/>
          <w:lang w:val="en-US" w:eastAsia="zh-CN"/>
        </w:rPr>
      </w:pPr>
      <w:r>
        <w:rPr>
          <w:rFonts w:hint="eastAsia" w:ascii="楷体_GB2312" w:hAnsi="楷体" w:eastAsia="楷体_GB2312" w:cs="楷体_GB2312"/>
          <w:b/>
          <w:sz w:val="32"/>
          <w:szCs w:val="32"/>
        </w:rPr>
        <w:t>填报日期：</w:t>
      </w:r>
      <w:r>
        <w:rPr>
          <w:rFonts w:hint="eastAsia" w:ascii="楷体_GB2312" w:hAnsi="楷体" w:eastAsia="楷体_GB2312" w:cs="楷体_GB2312"/>
          <w:b/>
          <w:sz w:val="32"/>
          <w:szCs w:val="32"/>
          <w:lang w:val="en-US" w:eastAsia="zh-CN"/>
        </w:rPr>
        <w:t>2023年7月10日</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 xml:space="preserve">  免费运行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tabs>
                <w:tab w:val="left" w:pos="806"/>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ab/>
            </w:r>
            <w:r>
              <w:rPr>
                <w:rFonts w:hint="eastAsia" w:ascii="仿宋_GB2312" w:hAnsi="宋体" w:eastAsia="仿宋_GB2312"/>
                <w:kern w:val="0"/>
                <w:lang w:eastAsia="zh-CN"/>
              </w:rPr>
              <w:t>黄石市文物保护中心</w:t>
            </w:r>
          </w:p>
        </w:tc>
        <w:tc>
          <w:tcPr>
            <w:tcW w:w="2520"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黄石市博物馆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tabs>
                <w:tab w:val="left" w:pos="494"/>
              </w:tabs>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60</w:t>
            </w:r>
          </w:p>
        </w:tc>
        <w:tc>
          <w:tcPr>
            <w:tcW w:w="1317"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 xml:space="preserve">          60</w:t>
            </w:r>
          </w:p>
          <w:p>
            <w:pPr>
              <w:bidi w:val="0"/>
              <w:ind w:firstLine="480" w:firstLineChars="0"/>
              <w:jc w:val="center"/>
              <w:rPr>
                <w:rFonts w:hint="default" w:asciiTheme="minorHAnsi" w:hAnsiTheme="minorHAnsi" w:eastAsiaTheme="minorEastAsia" w:cstheme="minorBidi"/>
                <w:kern w:val="2"/>
                <w:sz w:val="21"/>
                <w:szCs w:val="24"/>
                <w:lang w:val="en-US" w:eastAsia="zh-CN" w:bidi="ar-SA"/>
              </w:rPr>
            </w:pP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100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hint="eastAsia" w:ascii="仿宋_GB2312" w:hAnsi="宋体" w:eastAsia="仿宋_GB2312" w:cs="仿宋_GB2312"/>
                <w:kern w:val="0"/>
              </w:rPr>
            </w:pPr>
            <w:r>
              <w:rPr>
                <w:rFonts w:hint="eastAsia" w:ascii="仿宋_GB2312" w:hAnsi="宋体" w:eastAsia="仿宋_GB2312" w:cs="仿宋_GB2312"/>
                <w:kern w:val="0"/>
              </w:rPr>
              <w:t>产出指标</w:t>
            </w:r>
          </w:p>
          <w:p>
            <w:pPr>
              <w:snapToGrid w:val="0"/>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（40分）</w:t>
            </w:r>
          </w:p>
        </w:tc>
        <w:tc>
          <w:tcPr>
            <w:tcW w:w="1122" w:type="dxa"/>
            <w:vMerge w:val="restart"/>
            <w:vAlign w:val="center"/>
          </w:tcPr>
          <w:p>
            <w:pPr>
              <w:widowControl/>
              <w:snapToGrid w:val="0"/>
              <w:jc w:val="center"/>
              <w:rPr>
                <w:rFonts w:ascii="仿宋_GB2312" w:hAnsi="宋体" w:eastAsia="仿宋_GB2312"/>
                <w:kern w:val="0"/>
              </w:rPr>
            </w:pPr>
            <w:r>
              <w:rPr>
                <w:rFonts w:hint="eastAsia" w:ascii="仿宋_GB2312" w:hAnsi="宋体" w:eastAsia="仿宋_GB2312"/>
                <w:kern w:val="0"/>
              </w:rPr>
              <w:t>数量指标</w:t>
            </w:r>
          </w:p>
        </w:tc>
        <w:tc>
          <w:tcPr>
            <w:tcW w:w="2636" w:type="dxa"/>
            <w:gridSpan w:val="3"/>
            <w:vAlign w:val="center"/>
          </w:tcPr>
          <w:p>
            <w:pPr>
              <w:widowControl/>
              <w:tabs>
                <w:tab w:val="left" w:pos="67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举办临时展览和流动展</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12</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tabs>
                <w:tab w:val="left" w:pos="28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主题教育活动场次</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97</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tabs>
                <w:tab w:val="left" w:pos="359"/>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免费开放天数</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316天/年</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310天/年</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时效指标</w:t>
            </w:r>
          </w:p>
        </w:tc>
        <w:tc>
          <w:tcPr>
            <w:tcW w:w="2636" w:type="dxa"/>
            <w:gridSpan w:val="3"/>
            <w:vAlign w:val="center"/>
          </w:tcPr>
          <w:p>
            <w:pPr>
              <w:widowControl/>
              <w:tabs>
                <w:tab w:val="left" w:pos="52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工作按计划完成率</w:t>
            </w:r>
          </w:p>
        </w:tc>
        <w:tc>
          <w:tcPr>
            <w:tcW w:w="1466" w:type="dxa"/>
            <w:vAlign w:val="center"/>
          </w:tcPr>
          <w:p>
            <w:pPr>
              <w:widowControl/>
              <w:tabs>
                <w:tab w:val="left" w:pos="513"/>
              </w:tabs>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restart"/>
            <w:vAlign w:val="center"/>
          </w:tcPr>
          <w:p>
            <w:pPr>
              <w:widowControl/>
              <w:tabs>
                <w:tab w:val="left" w:pos="221"/>
              </w:tabs>
              <w:snapToGrid w:val="0"/>
              <w:jc w:val="left"/>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质量指标</w:t>
            </w:r>
          </w:p>
        </w:tc>
        <w:tc>
          <w:tcPr>
            <w:tcW w:w="2636" w:type="dxa"/>
            <w:gridSpan w:val="3"/>
            <w:vAlign w:val="center"/>
          </w:tcPr>
          <w:p>
            <w:pPr>
              <w:widowControl/>
              <w:tabs>
                <w:tab w:val="left" w:pos="52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重大安全事故数</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c>
          <w:tcPr>
            <w:tcW w:w="877" w:type="dxa"/>
            <w:vAlign w:val="center"/>
          </w:tcPr>
          <w:p>
            <w:pPr>
              <w:widowControl/>
              <w:tabs>
                <w:tab w:val="left" w:pos="488"/>
              </w:tabs>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藏品维护保养率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100%</w:t>
            </w:r>
          </w:p>
        </w:tc>
        <w:tc>
          <w:tcPr>
            <w:tcW w:w="877" w:type="dxa"/>
            <w:vAlign w:val="center"/>
          </w:tcPr>
          <w:p>
            <w:pPr>
              <w:widowControl/>
              <w:tabs>
                <w:tab w:val="left" w:pos="475"/>
              </w:tabs>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restart"/>
            <w:vAlign w:val="center"/>
          </w:tcPr>
          <w:p>
            <w:pPr>
              <w:widowControl/>
              <w:tabs>
                <w:tab w:val="left" w:pos="401"/>
              </w:tabs>
              <w:snapToGrid w:val="0"/>
              <w:jc w:val="left"/>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成本指标</w:t>
            </w:r>
          </w:p>
        </w:tc>
        <w:tc>
          <w:tcPr>
            <w:tcW w:w="2636" w:type="dxa"/>
            <w:gridSpan w:val="3"/>
            <w:vAlign w:val="center"/>
          </w:tcPr>
          <w:p>
            <w:pPr>
              <w:widowControl/>
              <w:tabs>
                <w:tab w:val="left" w:pos="52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人员经费偏差率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rPr>
              <w:t>±</w:t>
            </w:r>
            <w:r>
              <w:rPr>
                <w:rFonts w:hint="eastAsia" w:ascii="仿宋_GB2312" w:hAnsi="宋体" w:eastAsia="仿宋_GB2312"/>
                <w:kern w:val="0"/>
                <w:lang w:val="en-US" w:eastAsia="zh-CN"/>
              </w:rPr>
              <w:t>5%</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tabs>
                <w:tab w:val="left" w:pos="52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设施、展览陈列、公用经费偏差率</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rPr>
              <w:t>±</w:t>
            </w:r>
            <w:r>
              <w:rPr>
                <w:rFonts w:hint="eastAsia" w:ascii="仿宋_GB2312" w:hAnsi="宋体" w:eastAsia="仿宋_GB2312"/>
                <w:kern w:val="0"/>
                <w:lang w:val="en-US" w:eastAsia="zh-CN"/>
              </w:rPr>
              <w:t>5%</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效益指标（</w:t>
            </w:r>
            <w:r>
              <w:rPr>
                <w:rFonts w:hint="eastAsia" w:ascii="仿宋_GB2312" w:hAnsi="宋体" w:eastAsia="仿宋_GB2312" w:cs="仿宋_GB2312"/>
                <w:kern w:val="0"/>
                <w:lang w:val="en-US" w:eastAsia="zh-CN"/>
              </w:rPr>
              <w:t>20分</w:t>
            </w:r>
            <w:r>
              <w:rPr>
                <w:rFonts w:hint="eastAsia" w:ascii="仿宋_GB2312" w:hAnsi="宋体" w:eastAsia="仿宋_GB2312" w:cs="仿宋_GB2312"/>
                <w:kern w:val="0"/>
                <w:lang w:eastAsia="zh-CN"/>
              </w:rPr>
              <w:t>）</w:t>
            </w:r>
          </w:p>
        </w:tc>
        <w:tc>
          <w:tcPr>
            <w:tcW w:w="1122" w:type="dxa"/>
            <w:vMerge w:val="restart"/>
            <w:vAlign w:val="center"/>
          </w:tcPr>
          <w:p>
            <w:pPr>
              <w:widowControl/>
              <w:tabs>
                <w:tab w:val="left" w:pos="254"/>
              </w:tabs>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社会效益</w:t>
            </w:r>
          </w:p>
        </w:tc>
        <w:tc>
          <w:tcPr>
            <w:tcW w:w="2636" w:type="dxa"/>
            <w:gridSpan w:val="3"/>
            <w:vAlign w:val="center"/>
          </w:tcPr>
          <w:p>
            <w:pPr>
              <w:widowControl/>
              <w:snapToGrid w:val="0"/>
              <w:jc w:val="both"/>
              <w:rPr>
                <w:rFonts w:hint="eastAsia" w:ascii="仿宋_GB2312" w:hAnsi="宋体" w:eastAsia="仿宋_GB2312"/>
                <w:kern w:val="0"/>
                <w:lang w:eastAsia="zh-CN"/>
              </w:rPr>
            </w:pPr>
            <w:r>
              <w:rPr>
                <w:rFonts w:hint="eastAsia" w:ascii="仿宋_GB2312" w:hAnsi="宋体" w:eastAsia="仿宋_GB2312"/>
                <w:kern w:val="0"/>
                <w:lang w:eastAsia="zh-CN"/>
              </w:rPr>
              <w:t>全年免费开放接待人数</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20万人</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11.87万人</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both"/>
              <w:rPr>
                <w:rFonts w:hint="eastAsia" w:ascii="仿宋_GB2312" w:hAnsi="宋体" w:eastAsia="仿宋_GB2312"/>
                <w:kern w:val="0"/>
                <w:lang w:eastAsia="zh-CN"/>
              </w:rPr>
            </w:pPr>
            <w:r>
              <w:rPr>
                <w:rFonts w:hint="eastAsia" w:ascii="仿宋_GB2312" w:hAnsi="宋体" w:eastAsia="仿宋_GB2312"/>
                <w:kern w:val="0"/>
                <w:lang w:eastAsia="zh-CN"/>
              </w:rPr>
              <w:t>主题教育参与人数</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0.8万人</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3.2万人</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both"/>
              <w:rPr>
                <w:rFonts w:hint="eastAsia" w:ascii="仿宋_GB2312" w:hAnsi="宋体" w:eastAsia="仿宋_GB2312"/>
                <w:kern w:val="0"/>
                <w:lang w:eastAsia="zh-CN"/>
              </w:rPr>
            </w:pPr>
            <w:r>
              <w:rPr>
                <w:rFonts w:hint="eastAsia" w:ascii="仿宋_GB2312" w:hAnsi="宋体" w:eastAsia="仿宋_GB2312"/>
                <w:kern w:val="0"/>
                <w:lang w:eastAsia="zh-CN"/>
              </w:rPr>
              <w:t>经济效益</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环境效益</w:t>
            </w:r>
          </w:p>
        </w:tc>
        <w:tc>
          <w:tcPr>
            <w:tcW w:w="2636" w:type="dxa"/>
            <w:gridSpan w:val="3"/>
            <w:vAlign w:val="center"/>
          </w:tcPr>
          <w:p>
            <w:pPr>
              <w:widowControl/>
              <w:snapToGrid w:val="0"/>
              <w:jc w:val="center"/>
              <w:rPr>
                <w:rFonts w:ascii="仿宋_GB2312" w:hAnsi="宋体" w:eastAsia="仿宋_GB2312"/>
                <w:kern w:val="0"/>
              </w:rPr>
            </w:pPr>
          </w:p>
        </w:tc>
        <w:tc>
          <w:tcPr>
            <w:tcW w:w="1466" w:type="dxa"/>
            <w:vAlign w:val="center"/>
          </w:tcPr>
          <w:p>
            <w:pPr>
              <w:widowControl/>
              <w:snapToGrid w:val="0"/>
              <w:jc w:val="center"/>
              <w:rPr>
                <w:rFonts w:ascii="仿宋_GB2312" w:hAnsi="宋体" w:eastAsia="仿宋_GB2312"/>
                <w:kern w:val="0"/>
              </w:rPr>
            </w:pPr>
          </w:p>
        </w:tc>
        <w:tc>
          <w:tcPr>
            <w:tcW w:w="1319" w:type="dxa"/>
            <w:gridSpan w:val="2"/>
            <w:vAlign w:val="center"/>
          </w:tcPr>
          <w:p>
            <w:pPr>
              <w:widowControl/>
              <w:snapToGrid w:val="0"/>
              <w:jc w:val="center"/>
              <w:rPr>
                <w:rFonts w:ascii="仿宋_GB2312" w:hAnsi="宋体" w:eastAsia="仿宋_GB2312"/>
                <w:kern w:val="0"/>
              </w:rPr>
            </w:pPr>
          </w:p>
        </w:tc>
        <w:tc>
          <w:tcPr>
            <w:tcW w:w="877" w:type="dxa"/>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both"/>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可持续影响</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品牌展览认可度</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1319" w:type="dxa"/>
            <w:gridSpan w:val="2"/>
            <w:vAlign w:val="center"/>
          </w:tcPr>
          <w:p>
            <w:pPr>
              <w:widowControl/>
              <w:snapToGrid w:val="0"/>
              <w:jc w:val="center"/>
              <w:rPr>
                <w:rFonts w:ascii="仿宋_GB2312" w:hAnsi="宋体" w:eastAsia="仿宋_GB2312" w:cstheme="minorBidi"/>
                <w:kern w:val="0"/>
                <w:sz w:val="21"/>
                <w:szCs w:val="24"/>
                <w:lang w:val="en-US" w:eastAsia="zh-CN" w:bidi="ar-SA"/>
              </w:rPr>
            </w:pPr>
            <w:r>
              <w:rPr>
                <w:rFonts w:hint="eastAsia" w:ascii="仿宋_GB2312" w:hAnsi="宋体" w:eastAsia="仿宋_GB2312"/>
                <w:kern w:val="0"/>
              </w:rPr>
              <w:t>≥95%</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满意度指标</w:t>
            </w:r>
          </w:p>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w:t>
            </w:r>
            <w:r>
              <w:rPr>
                <w:rFonts w:hint="eastAsia" w:ascii="仿宋_GB2312" w:hAnsi="宋体" w:eastAsia="仿宋_GB2312"/>
                <w:kern w:val="0"/>
                <w:lang w:val="en-US" w:eastAsia="zh-CN"/>
              </w:rPr>
              <w:t>20分</w:t>
            </w:r>
            <w:r>
              <w:rPr>
                <w:rFonts w:hint="eastAsia" w:ascii="仿宋_GB2312" w:hAnsi="宋体" w:eastAsia="仿宋_GB2312"/>
                <w:kern w:val="0"/>
                <w:lang w:eastAsia="zh-CN"/>
              </w:rPr>
              <w:t>）</w:t>
            </w: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服务对象满意度指标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观众满意度</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1319" w:type="dxa"/>
            <w:gridSpan w:val="2"/>
            <w:vAlign w:val="center"/>
          </w:tcPr>
          <w:p>
            <w:pPr>
              <w:widowControl/>
              <w:snapToGrid w:val="0"/>
              <w:jc w:val="center"/>
              <w:rPr>
                <w:rFonts w:ascii="仿宋_GB2312" w:hAnsi="宋体" w:eastAsia="仿宋_GB2312" w:cstheme="minorBidi"/>
                <w:kern w:val="0"/>
                <w:sz w:val="21"/>
                <w:szCs w:val="24"/>
                <w:lang w:val="en-US" w:eastAsia="zh-CN" w:bidi="ar-SA"/>
              </w:rPr>
            </w:pPr>
            <w:r>
              <w:rPr>
                <w:rFonts w:hint="eastAsia" w:ascii="仿宋_GB2312" w:hAnsi="宋体" w:eastAsia="仿宋_GB2312"/>
                <w:kern w:val="0"/>
              </w:rPr>
              <w:t>≥95%</w:t>
            </w:r>
          </w:p>
        </w:tc>
        <w:tc>
          <w:tcPr>
            <w:tcW w:w="877" w:type="dxa"/>
            <w:vAlign w:val="center"/>
          </w:tcPr>
          <w:p>
            <w:pPr>
              <w:widowControl/>
              <w:tabs>
                <w:tab w:val="left" w:pos="284"/>
              </w:tabs>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vAlign w:val="center"/>
          </w:tcPr>
          <w:p>
            <w:pPr>
              <w:widowControl/>
              <w:ind w:firstLine="420" w:firstLineChars="200"/>
              <w:jc w:val="left"/>
              <w:rPr>
                <w:rFonts w:hint="eastAsia" w:ascii="仿宋" w:hAnsi="仿宋" w:eastAsia="仿宋" w:cs="仿宋"/>
                <w:kern w:val="0"/>
                <w:lang w:val="en-US" w:eastAsia="zh-CN"/>
              </w:rPr>
            </w:pPr>
            <w:r>
              <w:rPr>
                <w:rFonts w:hint="eastAsia" w:ascii="仿宋" w:hAnsi="仿宋" w:eastAsia="仿宋" w:cs="仿宋"/>
                <w:kern w:val="0"/>
                <w:lang w:val="en-US" w:eastAsia="zh-CN"/>
              </w:rPr>
              <w:t>1、</w:t>
            </w:r>
            <w:r>
              <w:rPr>
                <w:rFonts w:hint="eastAsia" w:ascii="仿宋" w:hAnsi="仿宋" w:eastAsia="仿宋" w:cs="仿宋"/>
                <w:kern w:val="0"/>
              </w:rPr>
              <w:t>202</w:t>
            </w:r>
            <w:r>
              <w:rPr>
                <w:rFonts w:hint="eastAsia" w:ascii="仿宋" w:hAnsi="仿宋" w:eastAsia="仿宋" w:cs="仿宋"/>
                <w:kern w:val="0"/>
                <w:lang w:val="en-US" w:eastAsia="zh-CN"/>
              </w:rPr>
              <w:t>2</w:t>
            </w:r>
            <w:r>
              <w:rPr>
                <w:rFonts w:hint="eastAsia" w:ascii="仿宋" w:hAnsi="仿宋" w:eastAsia="仿宋" w:cs="仿宋"/>
                <w:kern w:val="0"/>
              </w:rPr>
              <w:t>年</w:t>
            </w:r>
            <w:r>
              <w:rPr>
                <w:rFonts w:hint="eastAsia" w:ascii="仿宋" w:hAnsi="仿宋" w:eastAsia="仿宋" w:cs="仿宋"/>
                <w:kern w:val="0"/>
                <w:lang w:eastAsia="zh-CN"/>
              </w:rPr>
              <w:t>底，根据黄石市疫情防控指挥部转发《关于进一步完善优化全省社会面防控措施的紧急通知》要求，本馆闭馆</w:t>
            </w:r>
            <w:r>
              <w:rPr>
                <w:rFonts w:hint="eastAsia" w:ascii="仿宋" w:hAnsi="仿宋" w:eastAsia="仿宋" w:cs="仿宋"/>
                <w:kern w:val="0"/>
                <w:lang w:val="en-US" w:eastAsia="zh-CN"/>
              </w:rPr>
              <w:t>6天，导致</w:t>
            </w:r>
            <w:r>
              <w:rPr>
                <w:rFonts w:hint="eastAsia" w:ascii="仿宋" w:hAnsi="仿宋" w:eastAsia="仿宋" w:cs="仿宋"/>
                <w:kern w:val="0"/>
              </w:rPr>
              <w:t>全年免费开放天数</w:t>
            </w:r>
            <w:r>
              <w:rPr>
                <w:rFonts w:hint="eastAsia" w:ascii="仿宋" w:hAnsi="仿宋" w:eastAsia="仿宋" w:cs="仿宋"/>
                <w:kern w:val="0"/>
                <w:lang w:val="en-US" w:eastAsia="zh-CN"/>
              </w:rPr>
              <w:t>310</w:t>
            </w:r>
            <w:r>
              <w:rPr>
                <w:rFonts w:hint="eastAsia" w:ascii="仿宋" w:hAnsi="仿宋" w:eastAsia="仿宋" w:cs="仿宋"/>
                <w:kern w:val="0"/>
              </w:rPr>
              <w:t>天，</w:t>
            </w:r>
            <w:r>
              <w:rPr>
                <w:rFonts w:hint="eastAsia" w:ascii="仿宋" w:hAnsi="仿宋" w:eastAsia="仿宋" w:cs="仿宋"/>
                <w:kern w:val="0"/>
                <w:lang w:eastAsia="zh-CN"/>
              </w:rPr>
              <w:t>未能达到目标天数。</w:t>
            </w:r>
          </w:p>
          <w:p>
            <w:pPr>
              <w:widowControl/>
              <w:numPr>
                <w:ilvl w:val="0"/>
                <w:numId w:val="1"/>
              </w:numPr>
              <w:ind w:firstLine="420" w:firstLineChars="200"/>
              <w:jc w:val="left"/>
              <w:rPr>
                <w:rFonts w:hint="eastAsia" w:ascii="仿宋" w:hAnsi="仿宋" w:eastAsia="仿宋" w:cs="仿宋"/>
                <w:kern w:val="0"/>
              </w:rPr>
            </w:pPr>
            <w:r>
              <w:rPr>
                <w:rFonts w:hint="eastAsia" w:ascii="仿宋" w:hAnsi="仿宋" w:eastAsia="仿宋" w:cs="仿宋"/>
                <w:kern w:val="0"/>
                <w:lang w:val="en-US" w:eastAsia="zh-CN"/>
              </w:rPr>
              <w:t>为进一步加强疫情防控工作，最大限度保障观众和广大市民群众的身体健康和安全，我馆严格实施场馆限流、错峰，降低馆内人流密度，</w:t>
            </w:r>
            <w:r>
              <w:rPr>
                <w:rFonts w:hint="eastAsia" w:ascii="仿宋" w:hAnsi="仿宋" w:eastAsia="仿宋" w:cs="仿宋"/>
                <w:kern w:val="0"/>
              </w:rPr>
              <w:t>，因此全年线下参观人数未能达</w:t>
            </w:r>
            <w:r>
              <w:rPr>
                <w:rFonts w:hint="eastAsia" w:ascii="仿宋" w:hAnsi="仿宋" w:eastAsia="仿宋" w:cs="仿宋"/>
                <w:kern w:val="0"/>
                <w:lang w:eastAsia="zh-CN"/>
              </w:rPr>
              <w:t>到</w:t>
            </w:r>
            <w:r>
              <w:rPr>
                <w:rFonts w:hint="eastAsia" w:ascii="仿宋" w:hAnsi="仿宋" w:eastAsia="仿宋" w:cs="仿宋"/>
                <w:kern w:val="0"/>
              </w:rPr>
              <w:t>目标。</w:t>
            </w:r>
          </w:p>
          <w:p>
            <w:pPr>
              <w:widowControl/>
              <w:jc w:val="left"/>
              <w:rPr>
                <w:rFonts w:hint="default" w:ascii="仿宋_GB2312" w:hAnsi="宋体" w:eastAsia="仿宋_GB2312"/>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6"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vAlign w:val="center"/>
          </w:tcPr>
          <w:p>
            <w:pPr>
              <w:widowControl/>
              <w:ind w:firstLine="420" w:firstLineChars="200"/>
              <w:jc w:val="left"/>
              <w:rPr>
                <w:rFonts w:hint="eastAsia" w:ascii="仿宋" w:hAnsi="仿宋" w:eastAsia="仿宋" w:cs="仿宋"/>
                <w:kern w:val="0"/>
                <w:lang w:eastAsia="zh-CN"/>
              </w:rPr>
            </w:pPr>
            <w:r>
              <w:rPr>
                <w:rFonts w:hint="eastAsia" w:ascii="仿宋" w:hAnsi="仿宋" w:eastAsia="仿宋" w:cs="仿宋"/>
                <w:kern w:val="0"/>
              </w:rPr>
              <w:t>我馆及时对网站进行改版，设立了“文博黄石”微信公众号，不定期在新媒体平台推出各种展览。同时，积极与报社、电视台的媒体合作，利用媒体平台弘扬传统文化，推介系列展览</w:t>
            </w:r>
            <w:r>
              <w:rPr>
                <w:rFonts w:hint="eastAsia" w:ascii="仿宋" w:hAnsi="仿宋" w:eastAsia="仿宋" w:cs="仿宋"/>
                <w:kern w:val="0"/>
                <w:lang w:eastAsia="zh-CN"/>
              </w:rPr>
              <w:t>，让黄石市博物馆成为最受市民欢迎的学习、娱乐“打卡地”之一。</w:t>
            </w:r>
          </w:p>
          <w:p>
            <w:pPr>
              <w:widowControl/>
              <w:jc w:val="left"/>
              <w:rPr>
                <w:rFonts w:hint="eastAsia" w:ascii="仿宋_GB2312" w:hAnsi="宋体" w:eastAsia="仿宋_GB2312"/>
                <w:kern w:val="0"/>
                <w:lang w:eastAsia="zh-CN"/>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66258"/>
    <w:multiLevelType w:val="singleLevel"/>
    <w:tmpl w:val="6BD6625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ZDQ5M2U3MzI5YmRhODk1NGFjOTk5OWYxZjNmNTcifQ=="/>
  </w:docVars>
  <w:rsids>
    <w:rsidRoot w:val="387C397D"/>
    <w:rsid w:val="00D9637F"/>
    <w:rsid w:val="045167F8"/>
    <w:rsid w:val="056F72B2"/>
    <w:rsid w:val="071A2967"/>
    <w:rsid w:val="080341CB"/>
    <w:rsid w:val="0C5745FC"/>
    <w:rsid w:val="267D685F"/>
    <w:rsid w:val="28CF3A40"/>
    <w:rsid w:val="2BFF288E"/>
    <w:rsid w:val="2EEE2746"/>
    <w:rsid w:val="302D4CA4"/>
    <w:rsid w:val="305322EA"/>
    <w:rsid w:val="319475D5"/>
    <w:rsid w:val="31F369F1"/>
    <w:rsid w:val="34D6168C"/>
    <w:rsid w:val="364C2B74"/>
    <w:rsid w:val="38107BD1"/>
    <w:rsid w:val="387C397D"/>
    <w:rsid w:val="3AD2702A"/>
    <w:rsid w:val="4099592E"/>
    <w:rsid w:val="49EE3691"/>
    <w:rsid w:val="54DC340E"/>
    <w:rsid w:val="593B1EE8"/>
    <w:rsid w:val="5A5A0B0C"/>
    <w:rsid w:val="62623F55"/>
    <w:rsid w:val="68D54353"/>
    <w:rsid w:val="6E751F61"/>
    <w:rsid w:val="73B250BD"/>
    <w:rsid w:val="74620891"/>
    <w:rsid w:val="773D3DDF"/>
    <w:rsid w:val="7CD661F7"/>
    <w:rsid w:val="7DE130B5"/>
    <w:rsid w:val="7F3D58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1122</Words>
  <Characters>1226</Characters>
  <Lines>0</Lines>
  <Paragraphs>0</Paragraphs>
  <TotalTime>14</TotalTime>
  <ScaleCrop>false</ScaleCrop>
  <LinksUpToDate>false</LinksUpToDate>
  <CharactersWithSpaces>1279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2022-04-21T01:27:00Z</dcterms:created>
  <dc:creator>Administrator</dc:creator>
  <cp:lastModifiedBy>Administrator</cp:lastModifiedBy>
  <cp:lastPrinted>2023-07-10T01:22:27Z</cp:lastPrinted>
  <dcterms:modified xsi:type="dcterms:W3CDTF">2023-07-10T01:27:12Z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754535A123984103B6BDE7550112FF09</vt:lpwstr>
  </property>
</Properties>
</file>